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FA226" w14:textId="52E683C3" w:rsidR="004043EC" w:rsidRPr="006D6310" w:rsidRDefault="00000000" w:rsidP="006D6310">
      <w:pPr>
        <w:spacing w:line="360" w:lineRule="auto"/>
        <w:rPr>
          <w:rFonts w:ascii="方正小标宋简体" w:eastAsia="方正小标宋简体" w:hAnsi="方正小标宋_GBK" w:cs="方正小标宋_GBK" w:hint="eastAsia"/>
          <w:sz w:val="44"/>
          <w:szCs w:val="44"/>
        </w:rPr>
      </w:pPr>
      <w:r w:rsidRPr="004043EC">
        <w:rPr>
          <w:rFonts w:ascii="方正小标宋简体" w:eastAsia="方正小标宋简体" w:hAnsi="方正小标宋_GBK" w:cs="方正小标宋_GBK" w:hint="eastAsia"/>
          <w:sz w:val="44"/>
          <w:szCs w:val="44"/>
        </w:rPr>
        <w:t>“墨韵青春，书香致远”学生阅读活动方案</w:t>
      </w:r>
    </w:p>
    <w:p w14:paraId="3E9B100F" w14:textId="77777777" w:rsidR="00F32193" w:rsidRPr="004043EC" w:rsidRDefault="00000000" w:rsidP="004043EC">
      <w:pPr>
        <w:adjustRightInd w:val="0"/>
        <w:snapToGrid w:val="0"/>
        <w:spacing w:line="560" w:lineRule="exact"/>
        <w:ind w:firstLineChars="200" w:firstLine="640"/>
        <w:rPr>
          <w:rFonts w:ascii="黑体" w:eastAsia="黑体" w:hAnsi="黑体" w:cs="宋体" w:hint="eastAsia"/>
          <w:sz w:val="32"/>
          <w:szCs w:val="40"/>
        </w:rPr>
      </w:pPr>
      <w:r w:rsidRPr="004043EC">
        <w:rPr>
          <w:rFonts w:ascii="黑体" w:eastAsia="黑体" w:hAnsi="黑体" w:cs="宋体" w:hint="eastAsia"/>
          <w:sz w:val="32"/>
          <w:szCs w:val="40"/>
        </w:rPr>
        <w:t>一、组织架构</w:t>
      </w:r>
    </w:p>
    <w:p w14:paraId="5DC3E910" w14:textId="5C30F5AA"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活动主办：</w:t>
      </w:r>
      <w:r w:rsidR="00B1332F">
        <w:rPr>
          <w:rFonts w:ascii="仿宋_GB2312" w:eastAsia="仿宋_GB2312" w:hAnsi="宋体" w:cs="宋体" w:hint="eastAsia"/>
          <w:sz w:val="32"/>
          <w:szCs w:val="40"/>
        </w:rPr>
        <w:t>凉山</w:t>
      </w:r>
      <w:r w:rsidRPr="004043EC">
        <w:rPr>
          <w:rFonts w:ascii="仿宋_GB2312" w:eastAsia="仿宋_GB2312" w:hAnsi="宋体" w:cs="宋体" w:hint="eastAsia"/>
          <w:sz w:val="32"/>
          <w:szCs w:val="40"/>
        </w:rPr>
        <w:t>州委宣传部</w:t>
      </w:r>
    </w:p>
    <w:p w14:paraId="3FD0EDF1" w14:textId="01B11E7E"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承办：木里县委宣传部</w:t>
      </w:r>
      <w:r w:rsidR="004043EC" w:rsidRPr="004043EC">
        <w:rPr>
          <w:rFonts w:ascii="仿宋_GB2312" w:eastAsia="仿宋_GB2312" w:hAnsi="宋体" w:cs="宋体" w:hint="eastAsia"/>
          <w:sz w:val="32"/>
          <w:szCs w:val="40"/>
        </w:rPr>
        <w:t>、</w:t>
      </w:r>
      <w:r w:rsidRPr="004043EC">
        <w:rPr>
          <w:rFonts w:ascii="仿宋_GB2312" w:eastAsia="仿宋_GB2312" w:hAnsi="宋体" w:cs="宋体" w:hint="eastAsia"/>
          <w:sz w:val="32"/>
          <w:szCs w:val="40"/>
        </w:rPr>
        <w:t>木里中学</w:t>
      </w:r>
    </w:p>
    <w:p w14:paraId="4D451C4E" w14:textId="23DBDA42" w:rsidR="00F32193" w:rsidRPr="004043EC" w:rsidRDefault="004043EC" w:rsidP="004043EC">
      <w:pPr>
        <w:adjustRightInd w:val="0"/>
        <w:snapToGrid w:val="0"/>
        <w:spacing w:line="560" w:lineRule="exact"/>
        <w:ind w:firstLineChars="200" w:firstLine="640"/>
        <w:rPr>
          <w:rFonts w:ascii="黑体" w:eastAsia="黑体" w:hAnsi="黑体" w:cs="宋体" w:hint="eastAsia"/>
          <w:sz w:val="32"/>
          <w:szCs w:val="40"/>
        </w:rPr>
      </w:pPr>
      <w:r>
        <w:rPr>
          <w:rFonts w:ascii="黑体" w:eastAsia="黑体" w:hAnsi="黑体" w:cs="宋体" w:hint="eastAsia"/>
          <w:sz w:val="32"/>
          <w:szCs w:val="40"/>
        </w:rPr>
        <w:t>二、</w:t>
      </w:r>
      <w:r w:rsidRPr="004043EC">
        <w:rPr>
          <w:rFonts w:ascii="黑体" w:eastAsia="黑体" w:hAnsi="黑体" w:cs="宋体" w:hint="eastAsia"/>
          <w:sz w:val="32"/>
          <w:szCs w:val="40"/>
        </w:rPr>
        <w:t>活动主题</w:t>
      </w:r>
    </w:p>
    <w:p w14:paraId="6F5BA96F"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墨韵青春，书香致远——用阅读构筑精神高地</w:t>
      </w:r>
    </w:p>
    <w:p w14:paraId="2A800402"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1.激发高中生深度阅读兴趣，培养批判性阅读思维，提升文学鉴赏与书面/口头表达能力；</w:t>
      </w:r>
    </w:p>
    <w:p w14:paraId="0C267DCC"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2.搭建跨年级阅读交流平台，营造“全员阅读、深度思考”的校园文化氛围；</w:t>
      </w:r>
    </w:p>
    <w:p w14:paraId="3BB4B002"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3.引导学生通过经典阅读拓宽认知边界，塑造健全人格，为终身学习奠定基础。</w:t>
      </w:r>
    </w:p>
    <w:p w14:paraId="1DD11FB6" w14:textId="77777777" w:rsidR="00F32193" w:rsidRPr="004043EC" w:rsidRDefault="00000000" w:rsidP="004043EC">
      <w:pPr>
        <w:adjustRightInd w:val="0"/>
        <w:snapToGrid w:val="0"/>
        <w:spacing w:line="560" w:lineRule="exact"/>
        <w:ind w:firstLineChars="200" w:firstLine="640"/>
        <w:rPr>
          <w:rFonts w:ascii="黑体" w:eastAsia="黑体" w:hAnsi="黑体" w:cs="宋体" w:hint="eastAsia"/>
          <w:sz w:val="32"/>
          <w:szCs w:val="40"/>
        </w:rPr>
      </w:pPr>
      <w:r w:rsidRPr="004043EC">
        <w:rPr>
          <w:rFonts w:ascii="黑体" w:eastAsia="黑体" w:hAnsi="黑体" w:cs="宋体" w:hint="eastAsia"/>
          <w:sz w:val="32"/>
          <w:szCs w:val="40"/>
        </w:rPr>
        <w:t>三、活动对象</w:t>
      </w:r>
    </w:p>
    <w:p w14:paraId="7ABA3A91"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木里中学高中、初中全体学生</w:t>
      </w:r>
    </w:p>
    <w:p w14:paraId="5565C862" w14:textId="77777777" w:rsidR="00F32193" w:rsidRPr="004043EC" w:rsidRDefault="00000000" w:rsidP="004043EC">
      <w:pPr>
        <w:adjustRightInd w:val="0"/>
        <w:snapToGrid w:val="0"/>
        <w:spacing w:line="560" w:lineRule="exact"/>
        <w:ind w:firstLineChars="200" w:firstLine="640"/>
        <w:rPr>
          <w:rFonts w:ascii="黑体" w:eastAsia="黑体" w:hAnsi="黑体" w:cs="宋体" w:hint="eastAsia"/>
          <w:sz w:val="32"/>
          <w:szCs w:val="40"/>
        </w:rPr>
      </w:pPr>
      <w:r w:rsidRPr="004043EC">
        <w:rPr>
          <w:rFonts w:ascii="黑体" w:eastAsia="黑体" w:hAnsi="黑体" w:cs="宋体" w:hint="eastAsia"/>
          <w:sz w:val="32"/>
          <w:szCs w:val="40"/>
        </w:rPr>
        <w:t>四、活动时间</w:t>
      </w:r>
    </w:p>
    <w:p w14:paraId="3CC52D3F"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2025年11-12月（总结大会时间待定），分初中、高中校区开展活动</w:t>
      </w:r>
    </w:p>
    <w:p w14:paraId="736594F6" w14:textId="77777777" w:rsidR="00F32193" w:rsidRPr="004043EC" w:rsidRDefault="00000000" w:rsidP="004043EC">
      <w:pPr>
        <w:adjustRightInd w:val="0"/>
        <w:snapToGrid w:val="0"/>
        <w:spacing w:line="560" w:lineRule="exact"/>
        <w:ind w:firstLineChars="200" w:firstLine="640"/>
        <w:rPr>
          <w:rFonts w:ascii="黑体" w:eastAsia="黑体" w:hAnsi="黑体" w:cs="宋体" w:hint="eastAsia"/>
          <w:sz w:val="32"/>
          <w:szCs w:val="40"/>
        </w:rPr>
      </w:pPr>
      <w:r w:rsidRPr="004043EC">
        <w:rPr>
          <w:rFonts w:ascii="黑体" w:eastAsia="黑体" w:hAnsi="黑体" w:cs="宋体" w:hint="eastAsia"/>
          <w:sz w:val="32"/>
          <w:szCs w:val="40"/>
        </w:rPr>
        <w:t>五、活动过程</w:t>
      </w:r>
    </w:p>
    <w:p w14:paraId="1B10A1B9" w14:textId="77777777" w:rsidR="00F32193" w:rsidRPr="004043EC" w:rsidRDefault="00000000" w:rsidP="004043EC">
      <w:pPr>
        <w:adjustRightInd w:val="0"/>
        <w:snapToGrid w:val="0"/>
        <w:spacing w:line="560" w:lineRule="exact"/>
        <w:ind w:firstLineChars="200" w:firstLine="643"/>
        <w:rPr>
          <w:rFonts w:ascii="楷体" w:eastAsia="楷体" w:hAnsi="楷体" w:cs="宋体" w:hint="eastAsia"/>
          <w:b/>
          <w:bCs/>
          <w:sz w:val="32"/>
          <w:szCs w:val="40"/>
        </w:rPr>
      </w:pPr>
      <w:r w:rsidRPr="004043EC">
        <w:rPr>
          <w:rFonts w:ascii="楷体" w:eastAsia="楷体" w:hAnsi="楷体" w:cs="宋体" w:hint="eastAsia"/>
          <w:b/>
          <w:bCs/>
          <w:sz w:val="32"/>
          <w:szCs w:val="40"/>
        </w:rPr>
        <w:t>（一）启动阶段（第1周）：启智开卷，共赴书约</w:t>
      </w:r>
    </w:p>
    <w:p w14:paraId="6818EF86" w14:textId="77777777" w:rsidR="00F32193" w:rsidRPr="004043EC" w:rsidRDefault="00000000" w:rsidP="004043EC">
      <w:pPr>
        <w:adjustRightInd w:val="0"/>
        <w:snapToGrid w:val="0"/>
        <w:spacing w:line="560" w:lineRule="exact"/>
        <w:ind w:firstLineChars="200" w:firstLine="643"/>
        <w:rPr>
          <w:rFonts w:ascii="仿宋_GB2312" w:eastAsia="仿宋_GB2312" w:hAnsi="宋体" w:cs="宋体" w:hint="eastAsia"/>
          <w:b/>
          <w:bCs/>
          <w:sz w:val="32"/>
          <w:szCs w:val="40"/>
        </w:rPr>
      </w:pPr>
      <w:r w:rsidRPr="004043EC">
        <w:rPr>
          <w:rFonts w:ascii="仿宋_GB2312" w:eastAsia="仿宋_GB2312" w:hAnsi="宋体" w:cs="宋体" w:hint="eastAsia"/>
          <w:b/>
          <w:bCs/>
          <w:sz w:val="32"/>
          <w:szCs w:val="40"/>
        </w:rPr>
        <w:t>1.开幕式（40分钟）</w:t>
      </w:r>
    </w:p>
    <w:p w14:paraId="1FA9E629"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语文教研组长解读活动主题，推荐涵盖文学、历史、哲学、科普的“高中必读书单”；</w:t>
      </w:r>
    </w:p>
    <w:p w14:paraId="53EF7DBF"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邀请优秀毕业生（线上/线下）分享阅读对学业及成长的影响；</w:t>
      </w:r>
    </w:p>
    <w:p w14:paraId="25B7F3D6"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lastRenderedPageBreak/>
        <w:t>发布“阅读挑战令”，鼓励学生制定个人阅读计划，现场领取“阅读手账”。</w:t>
      </w:r>
    </w:p>
    <w:p w14:paraId="1D121E5A" w14:textId="77777777" w:rsidR="00F32193" w:rsidRPr="004043EC" w:rsidRDefault="00000000" w:rsidP="004043EC">
      <w:pPr>
        <w:adjustRightInd w:val="0"/>
        <w:snapToGrid w:val="0"/>
        <w:spacing w:line="560" w:lineRule="exact"/>
        <w:ind w:firstLineChars="200" w:firstLine="643"/>
        <w:rPr>
          <w:rFonts w:ascii="仿宋_GB2312" w:eastAsia="仿宋_GB2312" w:hAnsi="宋体" w:cs="宋体" w:hint="eastAsia"/>
          <w:b/>
          <w:bCs/>
          <w:sz w:val="32"/>
          <w:szCs w:val="40"/>
        </w:rPr>
      </w:pPr>
      <w:r w:rsidRPr="004043EC">
        <w:rPr>
          <w:rFonts w:ascii="仿宋_GB2312" w:eastAsia="仿宋_GB2312" w:hAnsi="宋体" w:cs="宋体" w:hint="eastAsia"/>
          <w:b/>
          <w:bCs/>
          <w:sz w:val="32"/>
          <w:szCs w:val="40"/>
        </w:rPr>
        <w:t>2.校园氛围营造（课余时间）</w:t>
      </w:r>
    </w:p>
    <w:p w14:paraId="5B2332B8"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图书馆设置“经典名著专区”“学霸推荐书架”，张贴阅读主题海报；</w:t>
      </w:r>
    </w:p>
    <w:p w14:paraId="705D9661"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各班级打造“班级阅读角”，鼓励学生捐赠书籍，建立“图书漂流”机制；</w:t>
      </w:r>
    </w:p>
    <w:p w14:paraId="515F09C3"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校园广播开设“每日一读”栏目，播放学生朗读的经典片段。</w:t>
      </w:r>
    </w:p>
    <w:p w14:paraId="460667DD" w14:textId="77777777" w:rsidR="00F32193" w:rsidRPr="004043EC" w:rsidRDefault="00000000" w:rsidP="004043EC">
      <w:pPr>
        <w:adjustRightInd w:val="0"/>
        <w:snapToGrid w:val="0"/>
        <w:spacing w:line="560" w:lineRule="exact"/>
        <w:ind w:firstLineChars="200" w:firstLine="643"/>
        <w:rPr>
          <w:rFonts w:ascii="仿宋_GB2312" w:eastAsia="仿宋_GB2312" w:hAnsi="宋体" w:cs="宋体" w:hint="eastAsia"/>
          <w:b/>
          <w:bCs/>
          <w:sz w:val="32"/>
          <w:szCs w:val="40"/>
        </w:rPr>
      </w:pPr>
      <w:r w:rsidRPr="004043EC">
        <w:rPr>
          <w:rFonts w:ascii="仿宋_GB2312" w:eastAsia="仿宋_GB2312" w:hAnsi="宋体" w:cs="宋体" w:hint="eastAsia"/>
          <w:b/>
          <w:bCs/>
          <w:sz w:val="32"/>
          <w:szCs w:val="40"/>
        </w:rPr>
        <w:t>3.阅读分组（1课时）</w:t>
      </w:r>
    </w:p>
    <w:p w14:paraId="7ECB63F2"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学生以自愿为原则，4-6人组建阅读小组，选定小组共读书目（从推荐书单中选取）</w:t>
      </w:r>
    </w:p>
    <w:p w14:paraId="5BC632DF"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各组推选组长，负责统筹组内阅读进度、组织讨论活动。</w:t>
      </w:r>
    </w:p>
    <w:p w14:paraId="5D9A8DDF" w14:textId="77777777" w:rsidR="00F32193" w:rsidRPr="004043EC" w:rsidRDefault="00000000" w:rsidP="004043EC">
      <w:pPr>
        <w:adjustRightInd w:val="0"/>
        <w:snapToGrid w:val="0"/>
        <w:spacing w:line="560" w:lineRule="exact"/>
        <w:ind w:firstLineChars="200" w:firstLine="643"/>
        <w:rPr>
          <w:rFonts w:ascii="楷体" w:eastAsia="楷体" w:hAnsi="楷体" w:cs="宋体" w:hint="eastAsia"/>
          <w:b/>
          <w:bCs/>
          <w:sz w:val="32"/>
          <w:szCs w:val="40"/>
        </w:rPr>
      </w:pPr>
      <w:r w:rsidRPr="004043EC">
        <w:rPr>
          <w:rFonts w:ascii="楷体" w:eastAsia="楷体" w:hAnsi="楷体" w:cs="宋体" w:hint="eastAsia"/>
          <w:b/>
          <w:bCs/>
          <w:sz w:val="32"/>
          <w:szCs w:val="40"/>
        </w:rPr>
        <w:t>（二）实施阶段（第2-3周）：深度共读，多维互动</w:t>
      </w:r>
    </w:p>
    <w:p w14:paraId="0D417D54" w14:textId="51B21CEF" w:rsidR="00F32193" w:rsidRPr="004043EC" w:rsidRDefault="00000000" w:rsidP="004043EC">
      <w:pPr>
        <w:adjustRightInd w:val="0"/>
        <w:snapToGrid w:val="0"/>
        <w:spacing w:line="560" w:lineRule="exact"/>
        <w:ind w:firstLineChars="200" w:firstLine="643"/>
        <w:rPr>
          <w:rFonts w:ascii="仿宋_GB2312" w:eastAsia="仿宋_GB2312" w:hAnsi="宋体" w:cs="宋体" w:hint="eastAsia"/>
          <w:b/>
          <w:bCs/>
          <w:sz w:val="32"/>
          <w:szCs w:val="40"/>
        </w:rPr>
      </w:pPr>
      <w:r w:rsidRPr="004043EC">
        <w:rPr>
          <w:rFonts w:ascii="仿宋_GB2312" w:eastAsia="仿宋_GB2312" w:hAnsi="宋体" w:cs="宋体" w:hint="eastAsia"/>
          <w:b/>
          <w:bCs/>
          <w:sz w:val="32"/>
          <w:szCs w:val="40"/>
        </w:rPr>
        <w:t>1.自主深度阅读（每日30分钟）</w:t>
      </w:r>
    </w:p>
    <w:p w14:paraId="2471C6C6"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固定“晚自习阅读时段”（30分钟），学生专注阅读个人或小组书目；</w:t>
      </w:r>
    </w:p>
    <w:p w14:paraId="3BE369CE"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要求在“阅读手账”中记录核心观点、疑问、批注及读后感（每周至少2篇）。</w:t>
      </w:r>
    </w:p>
    <w:p w14:paraId="1E5ECF71" w14:textId="301FDEC6" w:rsidR="00F32193" w:rsidRPr="004043EC" w:rsidRDefault="00000000" w:rsidP="004043EC">
      <w:pPr>
        <w:adjustRightInd w:val="0"/>
        <w:snapToGrid w:val="0"/>
        <w:spacing w:line="560" w:lineRule="exact"/>
        <w:ind w:firstLineChars="200" w:firstLine="643"/>
        <w:rPr>
          <w:rFonts w:ascii="仿宋_GB2312" w:eastAsia="仿宋_GB2312" w:hAnsi="宋体" w:cs="宋体" w:hint="eastAsia"/>
          <w:b/>
          <w:bCs/>
          <w:sz w:val="32"/>
          <w:szCs w:val="40"/>
        </w:rPr>
      </w:pPr>
      <w:r w:rsidRPr="004043EC">
        <w:rPr>
          <w:rFonts w:ascii="仿宋_GB2312" w:eastAsia="仿宋_GB2312" w:hAnsi="宋体" w:cs="宋体" w:hint="eastAsia"/>
          <w:b/>
          <w:bCs/>
          <w:sz w:val="32"/>
          <w:szCs w:val="40"/>
        </w:rPr>
        <w:t>2.小组共读研讨（每周1课时）</w:t>
      </w:r>
    </w:p>
    <w:p w14:paraId="3648E018"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各组围绕共读书目开展讨论，聚焦人物塑造、主题思想、写作手法等深度话题；</w:t>
      </w:r>
    </w:p>
    <w:p w14:paraId="24C9BB7B"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组长整理讨论成果，形成“小组阅读报告”（可采用PPT、思维导图等形式）。</w:t>
      </w:r>
    </w:p>
    <w:p w14:paraId="6A2A3174" w14:textId="2FF048A6" w:rsidR="00F32193" w:rsidRPr="004043EC" w:rsidRDefault="00000000" w:rsidP="004043EC">
      <w:pPr>
        <w:adjustRightInd w:val="0"/>
        <w:snapToGrid w:val="0"/>
        <w:spacing w:line="560" w:lineRule="exact"/>
        <w:ind w:firstLineChars="200" w:firstLine="643"/>
        <w:rPr>
          <w:rFonts w:ascii="仿宋_GB2312" w:eastAsia="仿宋_GB2312" w:hAnsi="宋体" w:cs="宋体" w:hint="eastAsia"/>
          <w:b/>
          <w:bCs/>
          <w:sz w:val="32"/>
          <w:szCs w:val="40"/>
        </w:rPr>
      </w:pPr>
      <w:r w:rsidRPr="004043EC">
        <w:rPr>
          <w:rFonts w:ascii="仿宋_GB2312" w:eastAsia="仿宋_GB2312" w:hAnsi="宋体" w:cs="宋体" w:hint="eastAsia"/>
          <w:b/>
          <w:bCs/>
          <w:sz w:val="32"/>
          <w:szCs w:val="40"/>
        </w:rPr>
        <w:lastRenderedPageBreak/>
        <w:t>3.校园特色活动（周末及课余时间）</w:t>
      </w:r>
    </w:p>
    <w:p w14:paraId="6FB80BD3"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阅读辩论赛：以年级为单位，围绕经典名著中的争议性话题（如“《红楼梦》中宝黛爱情的悲剧根源”）开展辩论，评选“最佳辩手”；</w:t>
      </w:r>
    </w:p>
    <w:p w14:paraId="02AA91F2"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名著改编创作：鼓励学生将经典名著片段改编为剧本、微电影脚本或诗歌，提交作品参与评选；</w:t>
      </w:r>
    </w:p>
    <w:p w14:paraId="64ADA0CB"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北师大研究生团队老师针对本校同学进行一次激发阅读兴趣的阅读大课（专题讲座）；</w:t>
      </w:r>
    </w:p>
    <w:p w14:paraId="73FE6835"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跨年级阅读沙龙：周末举办主题沙龙，不同年级学生围绕“青春与成长”“理想与现实”等话题，分享阅读感悟。</w:t>
      </w:r>
    </w:p>
    <w:p w14:paraId="01F0AFA5" w14:textId="77777777" w:rsidR="00F32193" w:rsidRPr="004043EC" w:rsidRDefault="00000000" w:rsidP="004043EC">
      <w:pPr>
        <w:adjustRightInd w:val="0"/>
        <w:snapToGrid w:val="0"/>
        <w:spacing w:line="560" w:lineRule="exact"/>
        <w:ind w:firstLineChars="200" w:firstLine="643"/>
        <w:rPr>
          <w:rFonts w:ascii="楷体" w:eastAsia="楷体" w:hAnsi="楷体" w:cs="宋体" w:hint="eastAsia"/>
          <w:b/>
          <w:bCs/>
          <w:sz w:val="32"/>
          <w:szCs w:val="40"/>
        </w:rPr>
      </w:pPr>
      <w:r w:rsidRPr="004043EC">
        <w:rPr>
          <w:rFonts w:ascii="楷体" w:eastAsia="楷体" w:hAnsi="楷体" w:cs="宋体" w:hint="eastAsia"/>
          <w:b/>
          <w:bCs/>
          <w:sz w:val="32"/>
          <w:szCs w:val="40"/>
        </w:rPr>
        <w:t>（三）总结阶段（第4周）：成果展演，表彰激励</w:t>
      </w:r>
    </w:p>
    <w:p w14:paraId="098F001F" w14:textId="1F191164" w:rsidR="00F32193" w:rsidRPr="004043EC" w:rsidRDefault="00000000" w:rsidP="004043EC">
      <w:pPr>
        <w:adjustRightInd w:val="0"/>
        <w:snapToGrid w:val="0"/>
        <w:spacing w:line="560" w:lineRule="exact"/>
        <w:ind w:firstLineChars="200" w:firstLine="643"/>
        <w:rPr>
          <w:rFonts w:ascii="仿宋_GB2312" w:eastAsia="仿宋_GB2312" w:hAnsi="宋体" w:cs="宋体" w:hint="eastAsia"/>
          <w:b/>
          <w:bCs/>
          <w:sz w:val="32"/>
          <w:szCs w:val="40"/>
        </w:rPr>
      </w:pPr>
      <w:r w:rsidRPr="004043EC">
        <w:rPr>
          <w:rFonts w:ascii="仿宋_GB2312" w:eastAsia="仿宋_GB2312" w:hAnsi="宋体" w:cs="宋体" w:hint="eastAsia"/>
          <w:b/>
          <w:bCs/>
          <w:sz w:val="32"/>
          <w:szCs w:val="40"/>
        </w:rPr>
        <w:t>1.阅读成果展（3天）</w:t>
      </w:r>
    </w:p>
    <w:p w14:paraId="4E045B10"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在校园展厅陈列优秀阅读手账、小组阅读报告、名著改编作品；</w:t>
      </w:r>
    </w:p>
    <w:p w14:paraId="18264F52"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播放学生拍摄的名著改编微电影片段，展示辩论比赛精彩瞬间。</w:t>
      </w:r>
    </w:p>
    <w:p w14:paraId="10BDB12B" w14:textId="1FBCFADA" w:rsidR="00F32193" w:rsidRPr="004043EC" w:rsidRDefault="00000000" w:rsidP="004043EC">
      <w:pPr>
        <w:adjustRightInd w:val="0"/>
        <w:snapToGrid w:val="0"/>
        <w:spacing w:line="560" w:lineRule="exact"/>
        <w:ind w:firstLineChars="200" w:firstLine="643"/>
        <w:rPr>
          <w:rFonts w:ascii="仿宋_GB2312" w:eastAsia="仿宋_GB2312" w:hAnsi="宋体" w:cs="宋体" w:hint="eastAsia"/>
          <w:b/>
          <w:bCs/>
          <w:sz w:val="32"/>
          <w:szCs w:val="40"/>
        </w:rPr>
      </w:pPr>
      <w:r w:rsidRPr="004043EC">
        <w:rPr>
          <w:rFonts w:ascii="仿宋_GB2312" w:eastAsia="仿宋_GB2312" w:hAnsi="宋体" w:cs="宋体" w:hint="eastAsia"/>
          <w:b/>
          <w:bCs/>
          <w:sz w:val="32"/>
          <w:szCs w:val="40"/>
        </w:rPr>
        <w:t>2.闭幕式暨表彰大会（40分钟）</w:t>
      </w:r>
    </w:p>
    <w:p w14:paraId="584270D2"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邀请优秀阅读小组进行共读成果展示（PPT汇报、片段演绎等）；</w:t>
      </w:r>
    </w:p>
    <w:p w14:paraId="07EF1CF5" w14:textId="77777777"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表彰“阅读之星”（各年级11名）、“优秀阅读小组”（6组）、“最佳创作奖”（10名）、“辩论能手”（8名），颁发荣誉证书及奖品；</w:t>
      </w:r>
    </w:p>
    <w:p w14:paraId="504BB676" w14:textId="77777777" w:rsidR="004043EC" w:rsidRDefault="00000000" w:rsidP="004043EC">
      <w:pPr>
        <w:adjustRightInd w:val="0"/>
        <w:snapToGrid w:val="0"/>
        <w:spacing w:line="560" w:lineRule="exact"/>
        <w:ind w:firstLineChars="200" w:firstLine="640"/>
        <w:rPr>
          <w:rFonts w:ascii="仿宋_GB2312" w:eastAsia="仿宋_GB2312" w:hAnsi="宋体" w:cs="宋体" w:hint="eastAsia"/>
          <w:sz w:val="32"/>
          <w:szCs w:val="40"/>
        </w:rPr>
      </w:pPr>
      <w:r w:rsidRPr="004043EC">
        <w:rPr>
          <w:rFonts w:ascii="仿宋_GB2312" w:eastAsia="仿宋_GB2312" w:hAnsi="宋体" w:cs="宋体" w:hint="eastAsia"/>
          <w:sz w:val="32"/>
          <w:szCs w:val="40"/>
        </w:rPr>
        <w:t>校长总结活动，强调阅读对高中生成长的意义，倡导建立长期阅读习惯。</w:t>
      </w:r>
    </w:p>
    <w:p w14:paraId="7726AAA3" w14:textId="7CEB3DCF" w:rsidR="00F32193" w:rsidRPr="004043EC" w:rsidRDefault="004043EC" w:rsidP="004043EC">
      <w:pPr>
        <w:adjustRightInd w:val="0"/>
        <w:snapToGrid w:val="0"/>
        <w:spacing w:line="560" w:lineRule="exact"/>
        <w:ind w:firstLineChars="200" w:firstLine="640"/>
        <w:rPr>
          <w:rFonts w:ascii="黑体" w:eastAsia="黑体" w:hAnsi="黑体" w:cs="宋体" w:hint="eastAsia"/>
          <w:sz w:val="32"/>
          <w:szCs w:val="40"/>
        </w:rPr>
      </w:pPr>
      <w:r>
        <w:rPr>
          <w:rFonts w:ascii="黑体" w:eastAsia="黑体" w:hAnsi="黑体" w:cs="宋体" w:hint="eastAsia"/>
          <w:sz w:val="32"/>
          <w:szCs w:val="40"/>
        </w:rPr>
        <w:lastRenderedPageBreak/>
        <w:t>六、</w:t>
      </w:r>
      <w:r w:rsidRPr="004043EC">
        <w:rPr>
          <w:rFonts w:ascii="黑体" w:eastAsia="黑体" w:hAnsi="黑体" w:cs="宋体" w:hint="eastAsia"/>
          <w:sz w:val="32"/>
          <w:szCs w:val="40"/>
        </w:rPr>
        <w:t>活动预算</w:t>
      </w:r>
    </w:p>
    <w:p w14:paraId="216D36EA" w14:textId="0D067B35" w:rsidR="00F32193" w:rsidRPr="004043EC" w:rsidRDefault="00000000" w:rsidP="004043EC">
      <w:pPr>
        <w:adjustRightInd w:val="0"/>
        <w:snapToGrid w:val="0"/>
        <w:spacing w:line="560" w:lineRule="exact"/>
        <w:ind w:firstLineChars="200" w:firstLine="640"/>
        <w:rPr>
          <w:rFonts w:ascii="仿宋_GB2312" w:eastAsia="仿宋_GB2312" w:hAnsi="宋体" w:cs="宋体" w:hint="eastAsia"/>
          <w:b/>
          <w:bCs/>
          <w:sz w:val="32"/>
          <w:szCs w:val="40"/>
        </w:rPr>
      </w:pPr>
      <w:r w:rsidRPr="004043EC">
        <w:rPr>
          <w:rFonts w:ascii="仿宋_GB2312" w:eastAsia="仿宋_GB2312" w:hAnsi="宋体" w:cs="宋体" w:hint="eastAsia"/>
          <w:sz w:val="32"/>
          <w:szCs w:val="40"/>
        </w:rPr>
        <w:t>在全民阅读活动经费中开支。</w:t>
      </w:r>
    </w:p>
    <w:tbl>
      <w:tblPr>
        <w:tblW w:w="5000" w:type="pct"/>
        <w:jc w:val="center"/>
        <w:tblLook w:val="0000" w:firstRow="0" w:lastRow="0" w:firstColumn="0" w:lastColumn="0" w:noHBand="0" w:noVBand="0"/>
      </w:tblPr>
      <w:tblGrid>
        <w:gridCol w:w="1052"/>
        <w:gridCol w:w="3320"/>
        <w:gridCol w:w="544"/>
        <w:gridCol w:w="3380"/>
      </w:tblGrid>
      <w:tr w:rsidR="00BD7217" w:rsidRPr="004043EC" w14:paraId="7C7D1162" w14:textId="77777777" w:rsidTr="00BD7217">
        <w:trPr>
          <w:tblHeader/>
          <w:jc w:val="center"/>
        </w:trPr>
        <w:tc>
          <w:tcPr>
            <w:tcW w:w="776" w:type="pct"/>
            <w:tcBorders>
              <w:top w:val="single" w:sz="4" w:space="0" w:color="auto"/>
              <w:left w:val="single" w:sz="4" w:space="0" w:color="auto"/>
              <w:bottom w:val="single" w:sz="4" w:space="0" w:color="auto"/>
              <w:right w:val="single" w:sz="4" w:space="0" w:color="auto"/>
            </w:tcBorders>
            <w:noWrap/>
            <w:vAlign w:val="center"/>
          </w:tcPr>
          <w:p w14:paraId="75E060AF"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项目</w:t>
            </w:r>
          </w:p>
        </w:tc>
        <w:tc>
          <w:tcPr>
            <w:tcW w:w="2026" w:type="pct"/>
            <w:tcBorders>
              <w:top w:val="single" w:sz="4" w:space="0" w:color="auto"/>
              <w:left w:val="single" w:sz="4" w:space="0" w:color="auto"/>
              <w:bottom w:val="single" w:sz="4" w:space="0" w:color="auto"/>
              <w:right w:val="single" w:sz="4" w:space="0" w:color="auto"/>
            </w:tcBorders>
            <w:noWrap/>
            <w:vAlign w:val="center"/>
          </w:tcPr>
          <w:p w14:paraId="3BEA03D3"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具体内容</w:t>
            </w:r>
          </w:p>
        </w:tc>
        <w:tc>
          <w:tcPr>
            <w:tcW w:w="674" w:type="pct"/>
            <w:tcBorders>
              <w:top w:val="single" w:sz="4" w:space="0" w:color="auto"/>
              <w:left w:val="single" w:sz="4" w:space="0" w:color="auto"/>
              <w:bottom w:val="single" w:sz="4" w:space="0" w:color="auto"/>
              <w:right w:val="single" w:sz="4" w:space="0" w:color="auto"/>
            </w:tcBorders>
            <w:noWrap/>
            <w:vAlign w:val="center"/>
          </w:tcPr>
          <w:p w14:paraId="1BA17F02"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数量</w:t>
            </w:r>
          </w:p>
        </w:tc>
        <w:tc>
          <w:tcPr>
            <w:tcW w:w="1525" w:type="pct"/>
            <w:tcBorders>
              <w:top w:val="single" w:sz="4" w:space="0" w:color="auto"/>
              <w:left w:val="single" w:sz="4" w:space="0" w:color="auto"/>
              <w:bottom w:val="single" w:sz="4" w:space="0" w:color="auto"/>
              <w:right w:val="single" w:sz="4" w:space="0" w:color="auto"/>
            </w:tcBorders>
            <w:noWrap/>
            <w:vAlign w:val="center"/>
          </w:tcPr>
          <w:p w14:paraId="6FB48C73"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备注</w:t>
            </w:r>
          </w:p>
        </w:tc>
      </w:tr>
      <w:tr w:rsidR="00BD7217" w:rsidRPr="004043EC" w14:paraId="51312BD3" w14:textId="77777777" w:rsidTr="00BD7217">
        <w:trPr>
          <w:jc w:val="center"/>
        </w:trPr>
        <w:tc>
          <w:tcPr>
            <w:tcW w:w="776" w:type="pct"/>
            <w:vMerge w:val="restart"/>
            <w:tcBorders>
              <w:top w:val="single" w:sz="4" w:space="0" w:color="auto"/>
              <w:left w:val="single" w:sz="4" w:space="0" w:color="auto"/>
              <w:right w:val="single" w:sz="4" w:space="0" w:color="auto"/>
            </w:tcBorders>
            <w:noWrap/>
            <w:vAlign w:val="center"/>
          </w:tcPr>
          <w:p w14:paraId="6510D54F"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荣誉证书及奖品</w:t>
            </w:r>
          </w:p>
        </w:tc>
        <w:tc>
          <w:tcPr>
            <w:tcW w:w="2026" w:type="pct"/>
            <w:tcBorders>
              <w:top w:val="single" w:sz="4" w:space="0" w:color="auto"/>
              <w:left w:val="single" w:sz="4" w:space="0" w:color="auto"/>
              <w:bottom w:val="single" w:sz="4" w:space="0" w:color="auto"/>
              <w:right w:val="single" w:sz="4" w:space="0" w:color="auto"/>
            </w:tcBorders>
            <w:noWrap/>
            <w:vAlign w:val="center"/>
          </w:tcPr>
          <w:p w14:paraId="51D42984"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荣誉证书</w:t>
            </w:r>
          </w:p>
        </w:tc>
        <w:tc>
          <w:tcPr>
            <w:tcW w:w="674" w:type="pct"/>
            <w:tcBorders>
              <w:top w:val="single" w:sz="4" w:space="0" w:color="auto"/>
              <w:left w:val="single" w:sz="4" w:space="0" w:color="auto"/>
              <w:bottom w:val="single" w:sz="4" w:space="0" w:color="auto"/>
              <w:right w:val="single" w:sz="4" w:space="0" w:color="auto"/>
            </w:tcBorders>
            <w:noWrap/>
            <w:vAlign w:val="center"/>
          </w:tcPr>
          <w:p w14:paraId="5349836B"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90份</w:t>
            </w:r>
          </w:p>
        </w:tc>
        <w:tc>
          <w:tcPr>
            <w:tcW w:w="1525" w:type="pct"/>
            <w:tcBorders>
              <w:top w:val="single" w:sz="4" w:space="0" w:color="auto"/>
              <w:left w:val="single" w:sz="4" w:space="0" w:color="auto"/>
              <w:bottom w:val="single" w:sz="4" w:space="0" w:color="auto"/>
              <w:right w:val="single" w:sz="4" w:space="0" w:color="auto"/>
            </w:tcBorders>
            <w:noWrap/>
            <w:vAlign w:val="center"/>
          </w:tcPr>
          <w:p w14:paraId="70D25C70"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含各类奖项证书</w:t>
            </w:r>
          </w:p>
        </w:tc>
      </w:tr>
      <w:tr w:rsidR="00BD7217" w:rsidRPr="004043EC" w14:paraId="240CA4B9" w14:textId="77777777" w:rsidTr="00BD7217">
        <w:trPr>
          <w:jc w:val="center"/>
        </w:trPr>
        <w:tc>
          <w:tcPr>
            <w:tcW w:w="776" w:type="pct"/>
            <w:vMerge/>
            <w:tcBorders>
              <w:left w:val="single" w:sz="4" w:space="0" w:color="auto"/>
              <w:right w:val="single" w:sz="4" w:space="0" w:color="auto"/>
            </w:tcBorders>
            <w:noWrap/>
            <w:vAlign w:val="center"/>
          </w:tcPr>
          <w:p w14:paraId="666B104C" w14:textId="77777777" w:rsidR="00BD7217" w:rsidRPr="004043EC" w:rsidRDefault="00BD7217" w:rsidP="004043EC">
            <w:pPr>
              <w:adjustRightInd w:val="0"/>
              <w:snapToGrid w:val="0"/>
              <w:jc w:val="center"/>
              <w:rPr>
                <w:rFonts w:ascii="仿宋_GB2312" w:eastAsia="仿宋_GB2312" w:hAnsi="宋体" w:cs="宋体" w:hint="eastAsia"/>
                <w:color w:val="000000"/>
                <w:sz w:val="24"/>
              </w:rPr>
            </w:pPr>
          </w:p>
        </w:tc>
        <w:tc>
          <w:tcPr>
            <w:tcW w:w="2026" w:type="pct"/>
            <w:tcBorders>
              <w:top w:val="single" w:sz="4" w:space="0" w:color="auto"/>
              <w:left w:val="single" w:sz="4" w:space="0" w:color="auto"/>
              <w:bottom w:val="single" w:sz="4" w:space="0" w:color="auto"/>
              <w:right w:val="single" w:sz="4" w:space="0" w:color="auto"/>
            </w:tcBorders>
            <w:noWrap/>
            <w:vAlign w:val="center"/>
          </w:tcPr>
          <w:p w14:paraId="345D1ADD"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学生奖品（学习用具套装、经典图书、钢笔礼盒，笔记本）</w:t>
            </w:r>
          </w:p>
        </w:tc>
        <w:tc>
          <w:tcPr>
            <w:tcW w:w="674" w:type="pct"/>
            <w:tcBorders>
              <w:top w:val="single" w:sz="4" w:space="0" w:color="auto"/>
              <w:left w:val="single" w:sz="4" w:space="0" w:color="auto"/>
              <w:bottom w:val="single" w:sz="4" w:space="0" w:color="auto"/>
              <w:right w:val="single" w:sz="4" w:space="0" w:color="auto"/>
            </w:tcBorders>
            <w:noWrap/>
            <w:vAlign w:val="center"/>
          </w:tcPr>
          <w:p w14:paraId="72DC4F4C"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90份</w:t>
            </w:r>
          </w:p>
        </w:tc>
        <w:tc>
          <w:tcPr>
            <w:tcW w:w="1525" w:type="pct"/>
            <w:tcBorders>
              <w:top w:val="single" w:sz="4" w:space="0" w:color="auto"/>
              <w:left w:val="single" w:sz="4" w:space="0" w:color="auto"/>
              <w:bottom w:val="single" w:sz="4" w:space="0" w:color="auto"/>
              <w:right w:val="single" w:sz="4" w:space="0" w:color="auto"/>
            </w:tcBorders>
            <w:noWrap/>
            <w:vAlign w:val="center"/>
          </w:tcPr>
          <w:p w14:paraId="230C25A3"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初高中每个年级15份，阅读之星、优秀小组等核心奖项奖品</w:t>
            </w:r>
          </w:p>
        </w:tc>
      </w:tr>
      <w:tr w:rsidR="00BD7217" w:rsidRPr="004043EC" w14:paraId="65066B18" w14:textId="77777777" w:rsidTr="00BD7217">
        <w:trPr>
          <w:jc w:val="center"/>
        </w:trPr>
        <w:tc>
          <w:tcPr>
            <w:tcW w:w="776" w:type="pct"/>
            <w:vMerge/>
            <w:tcBorders>
              <w:left w:val="single" w:sz="4" w:space="0" w:color="auto"/>
              <w:bottom w:val="single" w:sz="4" w:space="0" w:color="auto"/>
              <w:right w:val="single" w:sz="4" w:space="0" w:color="auto"/>
            </w:tcBorders>
            <w:noWrap/>
            <w:vAlign w:val="center"/>
          </w:tcPr>
          <w:p w14:paraId="14182420" w14:textId="77777777" w:rsidR="00BD7217" w:rsidRPr="004043EC" w:rsidRDefault="00BD7217" w:rsidP="004043EC">
            <w:pPr>
              <w:adjustRightInd w:val="0"/>
              <w:snapToGrid w:val="0"/>
              <w:jc w:val="center"/>
              <w:rPr>
                <w:rFonts w:ascii="仿宋_GB2312" w:eastAsia="仿宋_GB2312" w:hAnsi="宋体" w:cs="宋体" w:hint="eastAsia"/>
                <w:color w:val="000000"/>
                <w:sz w:val="24"/>
              </w:rPr>
            </w:pPr>
          </w:p>
        </w:tc>
        <w:tc>
          <w:tcPr>
            <w:tcW w:w="2026" w:type="pct"/>
            <w:tcBorders>
              <w:top w:val="single" w:sz="4" w:space="0" w:color="auto"/>
              <w:left w:val="single" w:sz="4" w:space="0" w:color="auto"/>
              <w:bottom w:val="single" w:sz="4" w:space="0" w:color="auto"/>
              <w:right w:val="single" w:sz="4" w:space="0" w:color="auto"/>
            </w:tcBorders>
            <w:noWrap/>
            <w:vAlign w:val="center"/>
          </w:tcPr>
          <w:p w14:paraId="7D2EAE12"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参与奖（定制书签、阅读笔记本）</w:t>
            </w:r>
          </w:p>
        </w:tc>
        <w:tc>
          <w:tcPr>
            <w:tcW w:w="674" w:type="pct"/>
            <w:tcBorders>
              <w:top w:val="single" w:sz="4" w:space="0" w:color="auto"/>
              <w:left w:val="single" w:sz="4" w:space="0" w:color="auto"/>
              <w:bottom w:val="single" w:sz="4" w:space="0" w:color="auto"/>
              <w:right w:val="single" w:sz="4" w:space="0" w:color="auto"/>
            </w:tcBorders>
            <w:noWrap/>
            <w:vAlign w:val="center"/>
          </w:tcPr>
          <w:p w14:paraId="02D8EF90"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300份</w:t>
            </w:r>
          </w:p>
        </w:tc>
        <w:tc>
          <w:tcPr>
            <w:tcW w:w="1525" w:type="pct"/>
            <w:tcBorders>
              <w:top w:val="single" w:sz="4" w:space="0" w:color="auto"/>
              <w:left w:val="single" w:sz="4" w:space="0" w:color="auto"/>
              <w:bottom w:val="single" w:sz="4" w:space="0" w:color="auto"/>
              <w:right w:val="single" w:sz="4" w:space="0" w:color="auto"/>
            </w:tcBorders>
            <w:noWrap/>
            <w:vAlign w:val="center"/>
          </w:tcPr>
          <w:p w14:paraId="1F85A48D"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鼓励广泛参与</w:t>
            </w:r>
          </w:p>
        </w:tc>
      </w:tr>
      <w:tr w:rsidR="00BD7217" w:rsidRPr="004043EC" w14:paraId="043B9EA2" w14:textId="77777777" w:rsidTr="00BD7217">
        <w:trPr>
          <w:jc w:val="center"/>
        </w:trPr>
        <w:tc>
          <w:tcPr>
            <w:tcW w:w="776" w:type="pct"/>
            <w:tcBorders>
              <w:top w:val="single" w:sz="4" w:space="0" w:color="auto"/>
              <w:left w:val="single" w:sz="4" w:space="0" w:color="auto"/>
              <w:bottom w:val="single" w:sz="4" w:space="0" w:color="auto"/>
              <w:right w:val="single" w:sz="4" w:space="0" w:color="auto"/>
            </w:tcBorders>
            <w:noWrap/>
            <w:vAlign w:val="center"/>
          </w:tcPr>
          <w:p w14:paraId="42476890"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宣传物料</w:t>
            </w:r>
          </w:p>
        </w:tc>
        <w:tc>
          <w:tcPr>
            <w:tcW w:w="2026" w:type="pct"/>
            <w:tcBorders>
              <w:top w:val="single" w:sz="4" w:space="0" w:color="auto"/>
              <w:left w:val="single" w:sz="4" w:space="0" w:color="auto"/>
              <w:bottom w:val="single" w:sz="4" w:space="0" w:color="auto"/>
              <w:right w:val="single" w:sz="4" w:space="0" w:color="auto"/>
            </w:tcBorders>
            <w:noWrap/>
            <w:vAlign w:val="center"/>
          </w:tcPr>
          <w:p w14:paraId="488324EB"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海报、书单手册、阅读手账</w:t>
            </w:r>
          </w:p>
        </w:tc>
        <w:tc>
          <w:tcPr>
            <w:tcW w:w="674" w:type="pct"/>
            <w:tcBorders>
              <w:top w:val="single" w:sz="4" w:space="0" w:color="auto"/>
              <w:left w:val="single" w:sz="4" w:space="0" w:color="auto"/>
              <w:bottom w:val="single" w:sz="4" w:space="0" w:color="auto"/>
              <w:right w:val="single" w:sz="4" w:space="0" w:color="auto"/>
            </w:tcBorders>
            <w:noWrap/>
            <w:vAlign w:val="center"/>
          </w:tcPr>
          <w:p w14:paraId="6A2C2595"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1批</w:t>
            </w:r>
          </w:p>
        </w:tc>
        <w:tc>
          <w:tcPr>
            <w:tcW w:w="1525" w:type="pct"/>
            <w:tcBorders>
              <w:top w:val="single" w:sz="4" w:space="0" w:color="auto"/>
              <w:left w:val="single" w:sz="4" w:space="0" w:color="auto"/>
              <w:bottom w:val="single" w:sz="4" w:space="0" w:color="auto"/>
              <w:right w:val="single" w:sz="4" w:space="0" w:color="auto"/>
            </w:tcBorders>
            <w:noWrap/>
            <w:vAlign w:val="center"/>
          </w:tcPr>
          <w:p w14:paraId="2A1BB6AC"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手账覆盖全校学生（约5000本）</w:t>
            </w:r>
          </w:p>
        </w:tc>
      </w:tr>
      <w:tr w:rsidR="00BD7217" w:rsidRPr="004043EC" w14:paraId="1D6D5B7B" w14:textId="77777777" w:rsidTr="00BD7217">
        <w:trPr>
          <w:jc w:val="center"/>
        </w:trPr>
        <w:tc>
          <w:tcPr>
            <w:tcW w:w="776" w:type="pct"/>
            <w:tcBorders>
              <w:top w:val="single" w:sz="4" w:space="0" w:color="auto"/>
              <w:left w:val="single" w:sz="4" w:space="0" w:color="auto"/>
              <w:bottom w:val="single" w:sz="4" w:space="0" w:color="auto"/>
              <w:right w:val="single" w:sz="4" w:space="0" w:color="auto"/>
            </w:tcBorders>
            <w:noWrap/>
            <w:vAlign w:val="center"/>
          </w:tcPr>
          <w:p w14:paraId="7E415E87"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活动道具</w:t>
            </w:r>
          </w:p>
        </w:tc>
        <w:tc>
          <w:tcPr>
            <w:tcW w:w="2026" w:type="pct"/>
            <w:tcBorders>
              <w:top w:val="single" w:sz="4" w:space="0" w:color="auto"/>
              <w:left w:val="single" w:sz="4" w:space="0" w:color="auto"/>
              <w:bottom w:val="single" w:sz="4" w:space="0" w:color="auto"/>
              <w:right w:val="single" w:sz="4" w:space="0" w:color="auto"/>
            </w:tcBorders>
            <w:noWrap/>
            <w:vAlign w:val="center"/>
          </w:tcPr>
          <w:p w14:paraId="2CD44B4B"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辩论赛道具（铭牌、计时器等）、展演服装租赁</w:t>
            </w:r>
          </w:p>
        </w:tc>
        <w:tc>
          <w:tcPr>
            <w:tcW w:w="674" w:type="pct"/>
            <w:tcBorders>
              <w:top w:val="single" w:sz="4" w:space="0" w:color="auto"/>
              <w:left w:val="single" w:sz="4" w:space="0" w:color="auto"/>
              <w:bottom w:val="single" w:sz="4" w:space="0" w:color="auto"/>
              <w:right w:val="single" w:sz="4" w:space="0" w:color="auto"/>
            </w:tcBorders>
            <w:noWrap/>
            <w:vAlign w:val="center"/>
          </w:tcPr>
          <w:p w14:paraId="67594599"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1批</w:t>
            </w:r>
          </w:p>
        </w:tc>
        <w:tc>
          <w:tcPr>
            <w:tcW w:w="1525" w:type="pct"/>
            <w:tcBorders>
              <w:top w:val="single" w:sz="4" w:space="0" w:color="auto"/>
              <w:left w:val="single" w:sz="4" w:space="0" w:color="auto"/>
              <w:bottom w:val="single" w:sz="4" w:space="0" w:color="auto"/>
              <w:right w:val="single" w:sz="4" w:space="0" w:color="auto"/>
            </w:tcBorders>
            <w:noWrap/>
            <w:vAlign w:val="center"/>
          </w:tcPr>
          <w:p w14:paraId="4CBA2D6C"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用于辩论及成果展示环节</w:t>
            </w:r>
          </w:p>
        </w:tc>
      </w:tr>
      <w:tr w:rsidR="00BD7217" w:rsidRPr="004043EC" w14:paraId="3A92EE7E" w14:textId="77777777" w:rsidTr="00BD7217">
        <w:trPr>
          <w:jc w:val="center"/>
        </w:trPr>
        <w:tc>
          <w:tcPr>
            <w:tcW w:w="776" w:type="pct"/>
            <w:tcBorders>
              <w:top w:val="single" w:sz="4" w:space="0" w:color="auto"/>
              <w:left w:val="single" w:sz="4" w:space="0" w:color="auto"/>
              <w:bottom w:val="single" w:sz="4" w:space="0" w:color="auto"/>
              <w:right w:val="single" w:sz="4" w:space="0" w:color="auto"/>
            </w:tcBorders>
            <w:noWrap/>
            <w:vAlign w:val="center"/>
          </w:tcPr>
          <w:p w14:paraId="075B4FF5"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专家讲座</w:t>
            </w:r>
          </w:p>
        </w:tc>
        <w:tc>
          <w:tcPr>
            <w:tcW w:w="2026" w:type="pct"/>
            <w:tcBorders>
              <w:top w:val="single" w:sz="4" w:space="0" w:color="auto"/>
              <w:left w:val="single" w:sz="4" w:space="0" w:color="auto"/>
              <w:bottom w:val="single" w:sz="4" w:space="0" w:color="auto"/>
              <w:right w:val="single" w:sz="4" w:space="0" w:color="auto"/>
            </w:tcBorders>
            <w:noWrap/>
            <w:vAlign w:val="center"/>
          </w:tcPr>
          <w:p w14:paraId="55172E6A"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高校教授、资深教师劳务及差旅费</w:t>
            </w:r>
          </w:p>
        </w:tc>
        <w:tc>
          <w:tcPr>
            <w:tcW w:w="674" w:type="pct"/>
            <w:tcBorders>
              <w:top w:val="single" w:sz="4" w:space="0" w:color="auto"/>
              <w:left w:val="single" w:sz="4" w:space="0" w:color="auto"/>
              <w:bottom w:val="single" w:sz="4" w:space="0" w:color="auto"/>
              <w:right w:val="single" w:sz="4" w:space="0" w:color="auto"/>
            </w:tcBorders>
            <w:noWrap/>
            <w:vAlign w:val="center"/>
          </w:tcPr>
          <w:p w14:paraId="755C6C20"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2场</w:t>
            </w:r>
          </w:p>
        </w:tc>
        <w:tc>
          <w:tcPr>
            <w:tcW w:w="1525" w:type="pct"/>
            <w:tcBorders>
              <w:top w:val="single" w:sz="4" w:space="0" w:color="auto"/>
              <w:left w:val="single" w:sz="4" w:space="0" w:color="auto"/>
              <w:bottom w:val="single" w:sz="4" w:space="0" w:color="auto"/>
              <w:right w:val="single" w:sz="4" w:space="0" w:color="auto"/>
            </w:tcBorders>
            <w:noWrap/>
            <w:vAlign w:val="center"/>
          </w:tcPr>
          <w:p w14:paraId="33F0DE75"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邀请2位专家开展导读讲座</w:t>
            </w:r>
          </w:p>
        </w:tc>
      </w:tr>
      <w:tr w:rsidR="00BD7217" w:rsidRPr="004043EC" w14:paraId="2372FA28" w14:textId="77777777" w:rsidTr="00BD7217">
        <w:trPr>
          <w:jc w:val="center"/>
        </w:trPr>
        <w:tc>
          <w:tcPr>
            <w:tcW w:w="776" w:type="pct"/>
            <w:tcBorders>
              <w:top w:val="single" w:sz="4" w:space="0" w:color="auto"/>
              <w:left w:val="single" w:sz="4" w:space="0" w:color="auto"/>
              <w:bottom w:val="single" w:sz="4" w:space="0" w:color="auto"/>
              <w:right w:val="single" w:sz="4" w:space="0" w:color="auto"/>
            </w:tcBorders>
            <w:noWrap/>
            <w:vAlign w:val="center"/>
          </w:tcPr>
          <w:p w14:paraId="31D43642"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场地布置</w:t>
            </w:r>
          </w:p>
        </w:tc>
        <w:tc>
          <w:tcPr>
            <w:tcW w:w="2026" w:type="pct"/>
            <w:tcBorders>
              <w:top w:val="single" w:sz="4" w:space="0" w:color="auto"/>
              <w:left w:val="single" w:sz="4" w:space="0" w:color="auto"/>
              <w:bottom w:val="single" w:sz="4" w:space="0" w:color="auto"/>
              <w:right w:val="single" w:sz="4" w:space="0" w:color="auto"/>
            </w:tcBorders>
            <w:noWrap/>
            <w:vAlign w:val="center"/>
          </w:tcPr>
          <w:p w14:paraId="35325DB1"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成果展示区展板、装饰材料</w:t>
            </w:r>
          </w:p>
        </w:tc>
        <w:tc>
          <w:tcPr>
            <w:tcW w:w="674" w:type="pct"/>
            <w:tcBorders>
              <w:top w:val="single" w:sz="4" w:space="0" w:color="auto"/>
              <w:left w:val="single" w:sz="4" w:space="0" w:color="auto"/>
              <w:bottom w:val="single" w:sz="4" w:space="0" w:color="auto"/>
              <w:right w:val="single" w:sz="4" w:space="0" w:color="auto"/>
            </w:tcBorders>
            <w:noWrap/>
            <w:vAlign w:val="center"/>
          </w:tcPr>
          <w:p w14:paraId="68410F5D"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1批</w:t>
            </w:r>
          </w:p>
        </w:tc>
        <w:tc>
          <w:tcPr>
            <w:tcW w:w="1525" w:type="pct"/>
            <w:tcBorders>
              <w:top w:val="single" w:sz="4" w:space="0" w:color="auto"/>
              <w:left w:val="single" w:sz="4" w:space="0" w:color="auto"/>
              <w:bottom w:val="single" w:sz="4" w:space="0" w:color="auto"/>
              <w:right w:val="single" w:sz="4" w:space="0" w:color="auto"/>
            </w:tcBorders>
            <w:noWrap/>
            <w:vAlign w:val="center"/>
          </w:tcPr>
          <w:p w14:paraId="71B7638D"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用于展厅布置及氛围营造</w:t>
            </w:r>
          </w:p>
        </w:tc>
      </w:tr>
      <w:tr w:rsidR="00BD7217" w:rsidRPr="004043EC" w14:paraId="7C0EFCC4" w14:textId="77777777" w:rsidTr="00BD7217">
        <w:trPr>
          <w:jc w:val="center"/>
        </w:trPr>
        <w:tc>
          <w:tcPr>
            <w:tcW w:w="776" w:type="pct"/>
            <w:tcBorders>
              <w:top w:val="single" w:sz="4" w:space="0" w:color="auto"/>
              <w:left w:val="single" w:sz="4" w:space="0" w:color="auto"/>
              <w:bottom w:val="single" w:sz="4" w:space="0" w:color="auto"/>
              <w:right w:val="single" w:sz="4" w:space="0" w:color="auto"/>
            </w:tcBorders>
            <w:noWrap/>
            <w:vAlign w:val="center"/>
          </w:tcPr>
          <w:p w14:paraId="0CF39398"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应急备用金</w:t>
            </w:r>
          </w:p>
        </w:tc>
        <w:tc>
          <w:tcPr>
            <w:tcW w:w="2026" w:type="pct"/>
            <w:tcBorders>
              <w:top w:val="single" w:sz="4" w:space="0" w:color="auto"/>
              <w:left w:val="single" w:sz="4" w:space="0" w:color="auto"/>
              <w:bottom w:val="single" w:sz="4" w:space="0" w:color="auto"/>
              <w:right w:val="single" w:sz="4" w:space="0" w:color="auto"/>
            </w:tcBorders>
            <w:noWrap/>
            <w:vAlign w:val="center"/>
          </w:tcPr>
          <w:p w14:paraId="7771F77F"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突发支出（如设备租赁、材料补充）</w:t>
            </w:r>
          </w:p>
        </w:tc>
        <w:tc>
          <w:tcPr>
            <w:tcW w:w="674" w:type="pct"/>
            <w:tcBorders>
              <w:top w:val="single" w:sz="4" w:space="0" w:color="auto"/>
              <w:left w:val="single" w:sz="4" w:space="0" w:color="auto"/>
              <w:bottom w:val="single" w:sz="4" w:space="0" w:color="auto"/>
              <w:right w:val="single" w:sz="4" w:space="0" w:color="auto"/>
            </w:tcBorders>
            <w:noWrap/>
            <w:vAlign w:val="center"/>
          </w:tcPr>
          <w:p w14:paraId="6A30B5B3"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1批</w:t>
            </w:r>
          </w:p>
        </w:tc>
        <w:tc>
          <w:tcPr>
            <w:tcW w:w="1525" w:type="pct"/>
            <w:tcBorders>
              <w:top w:val="single" w:sz="4" w:space="0" w:color="auto"/>
              <w:left w:val="single" w:sz="4" w:space="0" w:color="auto"/>
              <w:bottom w:val="single" w:sz="4" w:space="0" w:color="auto"/>
              <w:right w:val="single" w:sz="4" w:space="0" w:color="auto"/>
            </w:tcBorders>
            <w:noWrap/>
            <w:vAlign w:val="center"/>
          </w:tcPr>
          <w:p w14:paraId="2C77694A" w14:textId="77777777" w:rsidR="00BD7217" w:rsidRPr="004043EC" w:rsidRDefault="00BD7217" w:rsidP="004043EC">
            <w:pPr>
              <w:widowControl/>
              <w:adjustRightInd w:val="0"/>
              <w:snapToGrid w:val="0"/>
              <w:jc w:val="center"/>
              <w:textAlignment w:val="center"/>
              <w:rPr>
                <w:rFonts w:ascii="仿宋_GB2312" w:eastAsia="仿宋_GB2312" w:hAnsi="宋体" w:cs="宋体" w:hint="eastAsia"/>
                <w:color w:val="000000"/>
                <w:sz w:val="24"/>
              </w:rPr>
            </w:pPr>
            <w:r w:rsidRPr="004043EC">
              <w:rPr>
                <w:rFonts w:ascii="仿宋_GB2312" w:eastAsia="仿宋_GB2312" w:hAnsi="宋体" w:cs="宋体" w:hint="eastAsia"/>
                <w:color w:val="000000"/>
                <w:kern w:val="0"/>
                <w:sz w:val="24"/>
                <w:lang w:bidi="ar"/>
              </w:rPr>
              <w:t>应对未预见费用</w:t>
            </w:r>
          </w:p>
        </w:tc>
      </w:tr>
    </w:tbl>
    <w:p w14:paraId="6C6A5B3F" w14:textId="0ABDF977" w:rsidR="005C0BDD" w:rsidRPr="00096D47" w:rsidRDefault="00096D47" w:rsidP="00096D47">
      <w:pPr>
        <w:adjustRightInd w:val="0"/>
        <w:snapToGrid w:val="0"/>
        <w:spacing w:line="560" w:lineRule="exact"/>
        <w:ind w:firstLineChars="200" w:firstLine="640"/>
        <w:rPr>
          <w:rFonts w:ascii="仿宋_GB2312" w:eastAsia="仿宋_GB2312" w:hAnsi="宋体" w:cs="宋体" w:hint="eastAsia"/>
          <w:sz w:val="32"/>
          <w:szCs w:val="40"/>
        </w:rPr>
      </w:pPr>
      <w:r w:rsidRPr="00096D47">
        <w:rPr>
          <w:rFonts w:ascii="仿宋_GB2312" w:eastAsia="仿宋_GB2312" w:hAnsi="宋体" w:cs="宋体" w:hint="eastAsia"/>
          <w:sz w:val="32"/>
          <w:szCs w:val="40"/>
        </w:rPr>
        <w:t>以上项目</w:t>
      </w:r>
      <w:r>
        <w:rPr>
          <w:rFonts w:ascii="仿宋_GB2312" w:eastAsia="仿宋_GB2312" w:hAnsi="宋体" w:cs="宋体" w:hint="eastAsia"/>
          <w:sz w:val="32"/>
          <w:szCs w:val="40"/>
        </w:rPr>
        <w:t>预算人民币30000.00元（</w:t>
      </w:r>
      <w:r w:rsidRPr="00096D47">
        <w:rPr>
          <w:rFonts w:ascii="仿宋_GB2312" w:eastAsia="仿宋_GB2312" w:hAnsi="宋体" w:cs="宋体" w:hint="eastAsia"/>
          <w:sz w:val="32"/>
          <w:szCs w:val="40"/>
        </w:rPr>
        <w:t>叁万元整</w:t>
      </w:r>
      <w:r>
        <w:rPr>
          <w:rFonts w:ascii="仿宋_GB2312" w:eastAsia="仿宋_GB2312" w:hAnsi="宋体" w:cs="宋体" w:hint="eastAsia"/>
          <w:sz w:val="32"/>
          <w:szCs w:val="40"/>
        </w:rPr>
        <w:t>），控制价人民币30000.00元（</w:t>
      </w:r>
      <w:r w:rsidRPr="00096D47">
        <w:rPr>
          <w:rFonts w:ascii="仿宋_GB2312" w:eastAsia="仿宋_GB2312" w:hAnsi="宋体" w:cs="宋体" w:hint="eastAsia"/>
          <w:sz w:val="32"/>
          <w:szCs w:val="40"/>
        </w:rPr>
        <w:t>叁万元整</w:t>
      </w:r>
      <w:r>
        <w:rPr>
          <w:rFonts w:ascii="仿宋_GB2312" w:eastAsia="仿宋_GB2312" w:hAnsi="宋体" w:cs="宋体" w:hint="eastAsia"/>
          <w:sz w:val="32"/>
          <w:szCs w:val="40"/>
        </w:rPr>
        <w:t>）。</w:t>
      </w:r>
    </w:p>
    <w:sectPr w:rsidR="005C0BDD" w:rsidRPr="00096D47" w:rsidSect="006810BD">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6DC88" w14:textId="77777777" w:rsidR="009E395F" w:rsidRDefault="009E395F" w:rsidP="00034F88">
      <w:r>
        <w:separator/>
      </w:r>
    </w:p>
  </w:endnote>
  <w:endnote w:type="continuationSeparator" w:id="0">
    <w:p w14:paraId="132F1259" w14:textId="77777777" w:rsidR="009E395F" w:rsidRDefault="009E395F" w:rsidP="00034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方正小标宋_GBK">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265748"/>
      <w:docPartObj>
        <w:docPartGallery w:val="Page Numbers (Bottom of Page)"/>
        <w:docPartUnique/>
      </w:docPartObj>
    </w:sdtPr>
    <w:sdtEndPr>
      <w:rPr>
        <w:rFonts w:ascii="仿宋_GB2312" w:eastAsia="仿宋_GB2312" w:hint="eastAsia"/>
        <w:sz w:val="32"/>
        <w:szCs w:val="32"/>
      </w:rPr>
    </w:sdtEndPr>
    <w:sdtContent>
      <w:p w14:paraId="68B8E0D6" w14:textId="12834AA2" w:rsidR="00034F88" w:rsidRPr="006810BD" w:rsidRDefault="006810BD" w:rsidP="006810BD">
        <w:pPr>
          <w:pStyle w:val="a5"/>
          <w:rPr>
            <w:rFonts w:ascii="仿宋_GB2312" w:eastAsia="仿宋_GB2312"/>
            <w:sz w:val="32"/>
            <w:szCs w:val="32"/>
          </w:rPr>
        </w:pPr>
        <w:r w:rsidRPr="00034F88">
          <w:rPr>
            <w:rFonts w:ascii="仿宋_GB2312" w:eastAsia="仿宋_GB2312" w:hint="eastAsia"/>
            <w:sz w:val="32"/>
            <w:szCs w:val="32"/>
          </w:rPr>
          <w:t>—</w:t>
        </w:r>
        <w:r w:rsidRPr="00034F88">
          <w:rPr>
            <w:rFonts w:ascii="仿宋_GB2312" w:eastAsia="仿宋_GB2312" w:hint="eastAsia"/>
            <w:sz w:val="32"/>
            <w:szCs w:val="32"/>
          </w:rPr>
          <w:fldChar w:fldCharType="begin"/>
        </w:r>
        <w:r w:rsidRPr="00034F88">
          <w:rPr>
            <w:rFonts w:ascii="仿宋_GB2312" w:eastAsia="仿宋_GB2312" w:hint="eastAsia"/>
            <w:sz w:val="32"/>
            <w:szCs w:val="32"/>
          </w:rPr>
          <w:instrText>PAGE   \* MERGEFORMAT</w:instrText>
        </w:r>
        <w:r w:rsidRPr="00034F88">
          <w:rPr>
            <w:rFonts w:ascii="仿宋_GB2312" w:eastAsia="仿宋_GB2312" w:hint="eastAsia"/>
            <w:sz w:val="32"/>
            <w:szCs w:val="32"/>
          </w:rPr>
          <w:fldChar w:fldCharType="separate"/>
        </w:r>
        <w:r>
          <w:rPr>
            <w:rFonts w:ascii="仿宋_GB2312" w:eastAsia="仿宋_GB2312" w:hint="eastAsia"/>
            <w:sz w:val="32"/>
            <w:szCs w:val="32"/>
          </w:rPr>
          <w:t>1</w:t>
        </w:r>
        <w:r w:rsidRPr="00034F88">
          <w:rPr>
            <w:rFonts w:ascii="仿宋_GB2312" w:eastAsia="仿宋_GB2312" w:hint="eastAsia"/>
            <w:sz w:val="32"/>
            <w:szCs w:val="32"/>
          </w:rPr>
          <w:fldChar w:fldCharType="end"/>
        </w:r>
        <w:r w:rsidRPr="00034F88">
          <w:rPr>
            <w:rFonts w:ascii="仿宋_GB2312" w:eastAsia="仿宋_GB2312" w:hint="eastAsia"/>
            <w:sz w:val="32"/>
            <w:szCs w:val="32"/>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784867"/>
      <w:docPartObj>
        <w:docPartGallery w:val="Page Numbers (Bottom of Page)"/>
        <w:docPartUnique/>
      </w:docPartObj>
    </w:sdtPr>
    <w:sdtEndPr>
      <w:rPr>
        <w:rFonts w:ascii="仿宋_GB2312" w:eastAsia="仿宋_GB2312" w:hint="eastAsia"/>
        <w:sz w:val="32"/>
        <w:szCs w:val="32"/>
      </w:rPr>
    </w:sdtEndPr>
    <w:sdtContent>
      <w:p w14:paraId="0139871E" w14:textId="57071794" w:rsidR="00034F88" w:rsidRPr="00034F88" w:rsidRDefault="00034F88" w:rsidP="006810BD">
        <w:pPr>
          <w:pStyle w:val="a5"/>
          <w:jc w:val="right"/>
          <w:rPr>
            <w:rFonts w:ascii="仿宋_GB2312" w:eastAsia="仿宋_GB2312"/>
            <w:sz w:val="32"/>
            <w:szCs w:val="32"/>
          </w:rPr>
        </w:pPr>
        <w:r w:rsidRPr="00034F88">
          <w:rPr>
            <w:rFonts w:ascii="仿宋_GB2312" w:eastAsia="仿宋_GB2312" w:hint="eastAsia"/>
            <w:sz w:val="32"/>
            <w:szCs w:val="32"/>
          </w:rPr>
          <w:t>—</w:t>
        </w:r>
        <w:r w:rsidRPr="00034F88">
          <w:rPr>
            <w:rFonts w:ascii="仿宋_GB2312" w:eastAsia="仿宋_GB2312" w:hint="eastAsia"/>
            <w:sz w:val="32"/>
            <w:szCs w:val="32"/>
          </w:rPr>
          <w:fldChar w:fldCharType="begin"/>
        </w:r>
        <w:r w:rsidRPr="00034F88">
          <w:rPr>
            <w:rFonts w:ascii="仿宋_GB2312" w:eastAsia="仿宋_GB2312" w:hint="eastAsia"/>
            <w:sz w:val="32"/>
            <w:szCs w:val="32"/>
          </w:rPr>
          <w:instrText>PAGE   \* MERGEFORMAT</w:instrText>
        </w:r>
        <w:r w:rsidRPr="00034F88">
          <w:rPr>
            <w:rFonts w:ascii="仿宋_GB2312" w:eastAsia="仿宋_GB2312" w:hint="eastAsia"/>
            <w:sz w:val="32"/>
            <w:szCs w:val="32"/>
          </w:rPr>
          <w:fldChar w:fldCharType="separate"/>
        </w:r>
        <w:r w:rsidRPr="00034F88">
          <w:rPr>
            <w:rFonts w:ascii="仿宋_GB2312" w:eastAsia="仿宋_GB2312" w:hint="eastAsia"/>
            <w:sz w:val="32"/>
            <w:szCs w:val="32"/>
            <w:lang w:val="zh-CN"/>
          </w:rPr>
          <w:t>2</w:t>
        </w:r>
        <w:r w:rsidRPr="00034F88">
          <w:rPr>
            <w:rFonts w:ascii="仿宋_GB2312" w:eastAsia="仿宋_GB2312" w:hint="eastAsia"/>
            <w:sz w:val="32"/>
            <w:szCs w:val="32"/>
          </w:rPr>
          <w:fldChar w:fldCharType="end"/>
        </w:r>
        <w:r w:rsidRPr="00034F88">
          <w:rPr>
            <w:rFonts w:ascii="仿宋_GB2312" w:eastAsia="仿宋_GB2312" w:hint="eastAsia"/>
            <w:sz w:val="32"/>
            <w:szCs w:val="32"/>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B4078" w14:textId="77777777" w:rsidR="00034F88" w:rsidRDefault="00034F8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7803D" w14:textId="77777777" w:rsidR="009E395F" w:rsidRDefault="009E395F" w:rsidP="00034F88">
      <w:r>
        <w:separator/>
      </w:r>
    </w:p>
  </w:footnote>
  <w:footnote w:type="continuationSeparator" w:id="0">
    <w:p w14:paraId="7F09BAE7" w14:textId="77777777" w:rsidR="009E395F" w:rsidRDefault="009E395F" w:rsidP="00034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B64BD" w14:textId="77777777" w:rsidR="00034F88" w:rsidRDefault="00034F8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3B32B" w14:textId="77777777" w:rsidR="00034F88" w:rsidRDefault="00034F8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98E3C" w14:textId="77777777" w:rsidR="00034F88" w:rsidRDefault="00034F8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535B17"/>
    <w:multiLevelType w:val="singleLevel"/>
    <w:tmpl w:val="C2535B17"/>
    <w:lvl w:ilvl="0">
      <w:start w:val="6"/>
      <w:numFmt w:val="chineseCounting"/>
      <w:suff w:val="nothing"/>
      <w:lvlText w:val="%1、"/>
      <w:lvlJc w:val="left"/>
      <w:rPr>
        <w:rFonts w:hint="eastAsia"/>
      </w:rPr>
    </w:lvl>
  </w:abstractNum>
  <w:abstractNum w:abstractNumId="1" w15:restartNumberingAfterBreak="0">
    <w:nsid w:val="0CD8692A"/>
    <w:multiLevelType w:val="hybridMultilevel"/>
    <w:tmpl w:val="262E3B64"/>
    <w:lvl w:ilvl="0" w:tplc="A396525C">
      <w:start w:val="2"/>
      <w:numFmt w:val="japaneseCounting"/>
      <w:lvlText w:val="%1、"/>
      <w:lvlJc w:val="left"/>
      <w:pPr>
        <w:ind w:left="1363" w:hanging="720"/>
      </w:pPr>
      <w:rPr>
        <w:rFonts w:hint="default"/>
      </w:rPr>
    </w:lvl>
    <w:lvl w:ilvl="1" w:tplc="04090019" w:tentative="1">
      <w:start w:val="1"/>
      <w:numFmt w:val="lowerLetter"/>
      <w:lvlText w:val="%2)"/>
      <w:lvlJc w:val="left"/>
      <w:pPr>
        <w:ind w:left="1523" w:hanging="440"/>
      </w:pPr>
    </w:lvl>
    <w:lvl w:ilvl="2" w:tplc="0409001B" w:tentative="1">
      <w:start w:val="1"/>
      <w:numFmt w:val="lowerRoman"/>
      <w:lvlText w:val="%3."/>
      <w:lvlJc w:val="right"/>
      <w:pPr>
        <w:ind w:left="1963" w:hanging="440"/>
      </w:pPr>
    </w:lvl>
    <w:lvl w:ilvl="3" w:tplc="0409000F" w:tentative="1">
      <w:start w:val="1"/>
      <w:numFmt w:val="decimal"/>
      <w:lvlText w:val="%4."/>
      <w:lvlJc w:val="left"/>
      <w:pPr>
        <w:ind w:left="2403" w:hanging="440"/>
      </w:pPr>
    </w:lvl>
    <w:lvl w:ilvl="4" w:tplc="04090019" w:tentative="1">
      <w:start w:val="1"/>
      <w:numFmt w:val="lowerLetter"/>
      <w:lvlText w:val="%5)"/>
      <w:lvlJc w:val="left"/>
      <w:pPr>
        <w:ind w:left="2843" w:hanging="440"/>
      </w:pPr>
    </w:lvl>
    <w:lvl w:ilvl="5" w:tplc="0409001B" w:tentative="1">
      <w:start w:val="1"/>
      <w:numFmt w:val="lowerRoman"/>
      <w:lvlText w:val="%6."/>
      <w:lvlJc w:val="right"/>
      <w:pPr>
        <w:ind w:left="3283" w:hanging="440"/>
      </w:pPr>
    </w:lvl>
    <w:lvl w:ilvl="6" w:tplc="0409000F" w:tentative="1">
      <w:start w:val="1"/>
      <w:numFmt w:val="decimal"/>
      <w:lvlText w:val="%7."/>
      <w:lvlJc w:val="left"/>
      <w:pPr>
        <w:ind w:left="3723" w:hanging="440"/>
      </w:pPr>
    </w:lvl>
    <w:lvl w:ilvl="7" w:tplc="04090019" w:tentative="1">
      <w:start w:val="1"/>
      <w:numFmt w:val="lowerLetter"/>
      <w:lvlText w:val="%8)"/>
      <w:lvlJc w:val="left"/>
      <w:pPr>
        <w:ind w:left="4163" w:hanging="440"/>
      </w:pPr>
    </w:lvl>
    <w:lvl w:ilvl="8" w:tplc="0409001B" w:tentative="1">
      <w:start w:val="1"/>
      <w:numFmt w:val="lowerRoman"/>
      <w:lvlText w:val="%9."/>
      <w:lvlJc w:val="right"/>
      <w:pPr>
        <w:ind w:left="4603" w:hanging="440"/>
      </w:pPr>
    </w:lvl>
  </w:abstractNum>
  <w:abstractNum w:abstractNumId="2" w15:restartNumberingAfterBreak="0">
    <w:nsid w:val="5BC05104"/>
    <w:multiLevelType w:val="singleLevel"/>
    <w:tmpl w:val="5BC05104"/>
    <w:lvl w:ilvl="0">
      <w:start w:val="2"/>
      <w:numFmt w:val="chineseCounting"/>
      <w:suff w:val="nothing"/>
      <w:lvlText w:val="%1、"/>
      <w:lvlJc w:val="left"/>
      <w:rPr>
        <w:rFonts w:hint="eastAsia"/>
      </w:rPr>
    </w:lvl>
  </w:abstractNum>
  <w:num w:numId="1" w16cid:durableId="1687714167">
    <w:abstractNumId w:val="2"/>
  </w:num>
  <w:num w:numId="2" w16cid:durableId="474299768">
    <w:abstractNumId w:val="0"/>
  </w:num>
  <w:num w:numId="3" w16cid:durableId="1551460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jg3ZWI3MDM1OWNmM2JmOGM0MTk0ZTY0NDMwZWQ2MTQifQ=="/>
  </w:docVars>
  <w:rsids>
    <w:rsidRoot w:val="004043EC"/>
    <w:rsid w:val="0000592D"/>
    <w:rsid w:val="00034F88"/>
    <w:rsid w:val="00096D47"/>
    <w:rsid w:val="00320E0A"/>
    <w:rsid w:val="004043EC"/>
    <w:rsid w:val="005058C5"/>
    <w:rsid w:val="005C0BDD"/>
    <w:rsid w:val="006810BD"/>
    <w:rsid w:val="006D6310"/>
    <w:rsid w:val="007A7C32"/>
    <w:rsid w:val="009E395F"/>
    <w:rsid w:val="00B1332F"/>
    <w:rsid w:val="00B2497A"/>
    <w:rsid w:val="00BD7217"/>
    <w:rsid w:val="00CF1C66"/>
    <w:rsid w:val="00D258B4"/>
    <w:rsid w:val="00ED7C4D"/>
    <w:rsid w:val="00F32193"/>
    <w:rsid w:val="0B9D080D"/>
    <w:rsid w:val="423A0160"/>
    <w:rsid w:val="539F4DF6"/>
    <w:rsid w:val="54BF2645"/>
    <w:rsid w:val="5B0E47F8"/>
    <w:rsid w:val="654019F2"/>
    <w:rsid w:val="6D714693"/>
    <w:rsid w:val="7690480F"/>
    <w:rsid w:val="79225DB6"/>
    <w:rsid w:val="7DC10016"/>
    <w:rsid w:val="7E8248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89F507"/>
  <w15:chartTrackingRefBased/>
  <w15:docId w15:val="{4F669CC3-FA43-4445-99B4-AF23A4F25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34F88"/>
    <w:pPr>
      <w:tabs>
        <w:tab w:val="center" w:pos="4153"/>
        <w:tab w:val="right" w:pos="8306"/>
      </w:tabs>
      <w:snapToGrid w:val="0"/>
      <w:jc w:val="center"/>
    </w:pPr>
    <w:rPr>
      <w:sz w:val="18"/>
      <w:szCs w:val="18"/>
    </w:rPr>
  </w:style>
  <w:style w:type="character" w:customStyle="1" w:styleId="a4">
    <w:name w:val="页眉 字符"/>
    <w:basedOn w:val="a0"/>
    <w:link w:val="a3"/>
    <w:rsid w:val="00034F88"/>
    <w:rPr>
      <w:rFonts w:ascii="Calibri" w:hAnsi="Calibri"/>
      <w:kern w:val="2"/>
      <w:sz w:val="18"/>
      <w:szCs w:val="18"/>
    </w:rPr>
  </w:style>
  <w:style w:type="paragraph" w:styleId="a5">
    <w:name w:val="footer"/>
    <w:basedOn w:val="a"/>
    <w:link w:val="a6"/>
    <w:uiPriority w:val="99"/>
    <w:rsid w:val="00034F88"/>
    <w:pPr>
      <w:tabs>
        <w:tab w:val="center" w:pos="4153"/>
        <w:tab w:val="right" w:pos="8306"/>
      </w:tabs>
      <w:snapToGrid w:val="0"/>
      <w:jc w:val="left"/>
    </w:pPr>
    <w:rPr>
      <w:sz w:val="18"/>
      <w:szCs w:val="18"/>
    </w:rPr>
  </w:style>
  <w:style w:type="character" w:customStyle="1" w:styleId="a6">
    <w:name w:val="页脚 字符"/>
    <w:basedOn w:val="a0"/>
    <w:link w:val="a5"/>
    <w:uiPriority w:val="99"/>
    <w:rsid w:val="00034F88"/>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793</Words>
  <Characters>841</Characters>
  <Application>Microsoft Office Word</Application>
  <DocSecurity>0</DocSecurity>
  <Lines>84</Lines>
  <Paragraphs>102</Paragraphs>
  <ScaleCrop>false</ScaleCrop>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cp:lastModifiedBy>huaqiang ji</cp:lastModifiedBy>
  <cp:revision>8</cp:revision>
  <cp:lastPrinted>2025-11-16T05:29:00Z</cp:lastPrinted>
  <dcterms:created xsi:type="dcterms:W3CDTF">2025-11-27T09:59:00Z</dcterms:created>
  <dcterms:modified xsi:type="dcterms:W3CDTF">2025-11-27T11:31:00Z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eyJoZGlkIjoiZDE2YTA5NzE4ODlhY2NmYWQ5YzU5ZjgyYmQ4YjRhZGEiLCJ1c2VySWQiOiI1Mjg2ODM0NDYifQ==</vt:lpwstr>
  </property>
  <property fmtid="{D5CDD505-2E9C-101B-9397-08002B2CF9AE}" pid="4" name="ICV">
    <vt:lpwstr>A4DA6BC2E19A4A6180697288364AF403_13</vt:lpwstr>
  </property>
</Properties>
</file>